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传媒中心</w:t>
      </w:r>
      <w:r>
        <w:rPr>
          <w:rFonts w:hint="eastAsia" w:ascii="TimesNewRoman" w:hAnsi="TimesNewRoman" w:eastAsia="华文中宋" w:cs="TimesNewRoman"/>
          <w:b/>
          <w:sz w:val="44"/>
          <w:szCs w:val="44"/>
        </w:rPr>
        <w:t>2024年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部门（单位）预算</w:t>
      </w:r>
    </w:p>
    <w:p/>
    <w:p/>
    <w:p/>
    <w:p/>
    <w:p/>
    <w:p/>
    <w:p/>
    <w:p/>
    <w:p/>
    <w:p/>
    <w:p/>
    <w:p/>
    <w:p/>
    <w:p/>
    <w:p/>
    <w:p/>
    <w:p/>
    <w:p/>
    <w:p/>
    <w:p/>
    <w:p/>
    <w:p/>
    <w:p>
      <w:pPr>
        <w:pStyle w:val="5"/>
        <w:adjustRightInd w:val="0"/>
        <w:snapToGrid w:val="0"/>
        <w:spacing w:line="560" w:lineRule="exact"/>
        <w:jc w:val="center"/>
        <w:rPr>
          <w:rFonts w:ascii="TimesNewRoman" w:hAnsi="TimesNewRoman" w:eastAsia="黑体" w:cs="TimesNewRoman"/>
          <w:bCs/>
          <w:sz w:val="44"/>
          <w:szCs w:val="44"/>
        </w:rPr>
      </w:pPr>
    </w:p>
    <w:p>
      <w:pPr>
        <w:pStyle w:val="5"/>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2024年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
    <w:p>
      <w:pPr>
        <w:pStyle w:val="5"/>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、2024年度主要工作任务</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2024年部门（单位）预算表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2024年收支总表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2024年收入总表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2024年支出总表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2024年财政拨款收支总表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2024年一般公共预算支出表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2024年一般公共预算基本支出表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2024年政府性基金预算支出表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2024年国有资本经营预算支出表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2024年项目支出表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2024年政府采购支出表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2024年政府购买服务支出表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12、淮北市</w:t>
      </w:r>
      <w:r>
        <w:rPr>
          <w:rFonts w:hint="eastAsia" w:ascii="TimesNewRoman" w:hAnsi="TimesNewRoman" w:eastAsia="仿宋_GB2312" w:cs="TimesNewRoman"/>
          <w:bCs/>
          <w:sz w:val="32"/>
          <w:szCs w:val="32"/>
          <w:lang w:eastAsia="zh-CN"/>
        </w:rPr>
        <w:t>传媒中心</w:t>
      </w:r>
      <w:r>
        <w:rPr>
          <w:rFonts w:ascii="TimesNewRoman" w:hAnsi="TimesNewRoman" w:eastAsia="仿宋_GB2312" w:cs="TimesNewRoman"/>
          <w:bCs/>
          <w:sz w:val="32"/>
          <w:szCs w:val="32"/>
        </w:rPr>
        <w:t>2024年通用资产配置支出表</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2024年部门（单位）预算情况说明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2024年部门预算纳入绩效考评项目表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bCs/>
          <w:sz w:val="32"/>
          <w:szCs w:val="32"/>
        </w:rPr>
        <w:t>2024年部门预算专项资金管理清单（专栏公开）</w:t>
      </w: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560" w:lineRule="exact"/>
        <w:jc w:val="center"/>
        <w:rPr>
          <w:rFonts w:hint="eastAsia" w:ascii="TimesNewRoman" w:hAnsi="TimesNewRoman" w:eastAsia="黑体" w:cs="TimesNewRoman"/>
          <w:bCs/>
          <w:sz w:val="36"/>
          <w:szCs w:val="36"/>
        </w:rPr>
      </w:pPr>
    </w:p>
    <w:p>
      <w:pPr>
        <w:pStyle w:val="5"/>
        <w:adjustRightInd w:val="0"/>
        <w:snapToGrid w:val="0"/>
        <w:spacing w:line="560" w:lineRule="exact"/>
        <w:jc w:val="center"/>
        <w:rPr>
          <w:rFonts w:hint="eastAsia" w:ascii="TimesNewRoman" w:hAnsi="TimesNewRoman" w:eastAsia="黑体" w:cs="TimesNewRoman"/>
          <w:bCs/>
          <w:sz w:val="36"/>
          <w:szCs w:val="36"/>
        </w:rPr>
      </w:pPr>
    </w:p>
    <w:p>
      <w:pPr>
        <w:pStyle w:val="5"/>
        <w:adjustRightInd w:val="0"/>
        <w:snapToGrid w:val="0"/>
        <w:spacing w:line="560" w:lineRule="exact"/>
        <w:jc w:val="center"/>
        <w:rPr>
          <w:rFonts w:hint="eastAsia"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（一）根据中共淮北市委办公室办（2020）23号文件规定，淮北市传媒中心主要职责是：</w:t>
      </w:r>
    </w:p>
    <w:p>
      <w:pPr>
        <w:pStyle w:val="5"/>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（一）贯彻执行党和国家有关新闻宣传工作的路线、方</w:t>
      </w:r>
      <w:r>
        <w:rPr>
          <w:rFonts w:hint="eastAsia" w:ascii="TimesNewRoman" w:hAnsi="TimesNewRoman" w:eastAsia="仿宋_GB2312" w:cs="TimesNewRoman"/>
          <w:bCs/>
          <w:sz w:val="32"/>
          <w:szCs w:val="32"/>
          <w:lang w:eastAsia="zh-CN"/>
        </w:rPr>
        <w:t>针</w:t>
      </w:r>
      <w:r>
        <w:rPr>
          <w:rFonts w:hint="eastAsia" w:ascii="TimesNewRoman" w:hAnsi="TimesNewRoman" w:eastAsia="仿宋_GB2312" w:cs="TimesNewRoman"/>
          <w:bCs/>
          <w:sz w:val="32"/>
          <w:szCs w:val="32"/>
        </w:rPr>
        <w:t>政策，坚持正确舆论导向，制定并实施中心发展规划和管理办法，巩固宣传思想文化阵地，壮大主流思想舆论，推动传统媒体和新兴媒体的融合发展</w:t>
      </w:r>
      <w:r>
        <w:rPr>
          <w:rFonts w:hint="eastAsia" w:ascii="TimesNewRoman" w:hAnsi="TimesNewRoman" w:eastAsia="仿宋_GB2312" w:cs="TimesNewRoman"/>
          <w:bCs/>
          <w:sz w:val="32"/>
          <w:szCs w:val="32"/>
          <w:lang w:eastAsia="zh-CN"/>
        </w:rPr>
        <w:t>。</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（二）根据市委、市政府中心工作和上级有关要求，确定阶段性宣传重点，进行典型宣传、热点引导、舆论监督，组织好重大活动和重大事件的宣传报道，把握好舆论导向和宣传口径。</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三</w:t>
      </w:r>
      <w:r>
        <w:rPr>
          <w:rFonts w:hint="eastAsia" w:ascii="TimesNewRoman" w:hAnsi="TimesNewRoman" w:eastAsia="仿宋_GB2312" w:cs="TimesNewRoman"/>
          <w:bCs/>
          <w:sz w:val="32"/>
          <w:szCs w:val="32"/>
        </w:rPr>
        <w:t>）贯彻行业管理有关规定，负责广播电视及融媒体设备设施的安全保障工作，加强报纸的安全出版、广播电视节目的优质安全播出工作；负责广播、电视等频率和频道资源的申报、管理和使用。</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四</w:t>
      </w:r>
      <w:r>
        <w:rPr>
          <w:rFonts w:hint="eastAsia" w:ascii="TimesNewRoman" w:hAnsi="TimesNewRoman" w:eastAsia="仿宋_GB2312" w:cs="TimesNewRoman"/>
          <w:bCs/>
          <w:sz w:val="32"/>
          <w:szCs w:val="32"/>
        </w:rPr>
        <w:t>）负责制定并组织实施中心产业发展规划，依照政府授权，在确保实现公益目标的前提下，依法开展相关经营活动。</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五</w:t>
      </w:r>
      <w:r>
        <w:rPr>
          <w:rFonts w:hint="eastAsia" w:ascii="TimesNewRoman" w:hAnsi="TimesNewRoman" w:eastAsia="仿宋_GB2312" w:cs="TimesNewRoman"/>
          <w:bCs/>
          <w:sz w:val="32"/>
          <w:szCs w:val="32"/>
        </w:rPr>
        <w:t>）管理中心所属报纸、广播、电视、网站、客户端、微信公众号、微博等意识形态阵地，承办各类重大宣传活动。</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六</w:t>
      </w:r>
      <w:r>
        <w:rPr>
          <w:rFonts w:hint="eastAsia" w:ascii="TimesNewRoman" w:hAnsi="TimesNewRoman" w:eastAsia="仿宋_GB2312" w:cs="TimesNewRoman"/>
          <w:bCs/>
          <w:sz w:val="32"/>
          <w:szCs w:val="32"/>
        </w:rPr>
        <w:t>）负责报纸、广播电视节目、新媒体作品的创新创优工作，树立精品意识，打造品牌节目。</w:t>
      </w:r>
    </w:p>
    <w:p>
      <w:pPr>
        <w:pStyle w:val="5"/>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完成市委、市政府和上级部门交办的其他任务。</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pStyle w:val="5"/>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（部门预算构成：）从预算单位构成看，</w:t>
      </w:r>
      <w:r>
        <w:rPr>
          <w:rFonts w:hint="eastAsia" w:ascii="TimesNewRoman" w:hAnsi="TimesNewRoman" w:eastAsia="仿宋_GB2312" w:cs="TimesNewRoman"/>
          <w:bCs/>
          <w:sz w:val="32"/>
          <w:szCs w:val="32"/>
        </w:rPr>
        <w:t>淮北市</w:t>
      </w:r>
      <w:r>
        <w:rPr>
          <w:rFonts w:hint="eastAsia" w:ascii="TimesNewRoman" w:hAnsi="TimesNewRoman" w:eastAsia="仿宋_GB2312" w:cs="TimesNewRoman"/>
          <w:bCs/>
          <w:sz w:val="32"/>
          <w:szCs w:val="32"/>
          <w:lang w:eastAsia="zh-CN"/>
        </w:rPr>
        <w:t>传媒中心</w:t>
      </w:r>
      <w:r>
        <w:rPr>
          <w:rFonts w:hint="eastAsia" w:ascii="TimesNewRoman" w:hAnsi="TimesNewRoman" w:eastAsia="仿宋_GB2312" w:cs="TimesNewRoman"/>
          <w:sz w:val="32"/>
          <w:szCs w:val="32"/>
        </w:rPr>
        <w:t>2024年度部门预算仅包括局（委）本级预算，无其他下属单位预算。</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三、2024年度主要工作任务</w:t>
      </w:r>
    </w:p>
    <w:p>
      <w:pPr>
        <w:pStyle w:val="5"/>
        <w:adjustRightInd w:val="0"/>
        <w:snapToGrid w:val="0"/>
        <w:spacing w:line="560" w:lineRule="exact"/>
        <w:ind w:firstLine="627" w:firstLineChars="196"/>
        <w:rPr>
          <w:rFonts w:hint="eastAsia" w:ascii="TimesNewRoman" w:hAnsi="TimesNewRoman" w:eastAsia="仿宋_GB2312" w:cs="TimesNewRoman"/>
          <w:bCs/>
          <w:sz w:val="32"/>
          <w:szCs w:val="32"/>
          <w:lang w:val="en-US" w:eastAsia="zh-CN"/>
        </w:rPr>
      </w:pPr>
      <w:r>
        <w:rPr>
          <w:rFonts w:hint="eastAsia" w:ascii="TimesNewRoman" w:hAnsi="TimesNewRoman" w:eastAsia="仿宋_GB2312" w:cs="TimesNewRoman"/>
          <w:bCs/>
          <w:sz w:val="32"/>
          <w:szCs w:val="32"/>
        </w:rPr>
        <w:t>202</w:t>
      </w:r>
      <w:r>
        <w:rPr>
          <w:rFonts w:hint="eastAsia" w:ascii="TimesNewRoman" w:hAnsi="TimesNewRoman" w:eastAsia="仿宋_GB2312" w:cs="TimesNewRoman"/>
          <w:bCs/>
          <w:sz w:val="32"/>
          <w:szCs w:val="32"/>
          <w:lang w:val="en-US" w:eastAsia="zh-CN"/>
        </w:rPr>
        <w:t>4</w:t>
      </w:r>
      <w:r>
        <w:rPr>
          <w:rFonts w:hint="eastAsia" w:ascii="TimesNewRoman" w:hAnsi="TimesNewRoman" w:eastAsia="仿宋_GB2312" w:cs="TimesNewRoman"/>
          <w:bCs/>
          <w:sz w:val="32"/>
          <w:szCs w:val="32"/>
        </w:rPr>
        <w:t>年是</w:t>
      </w:r>
      <w:r>
        <w:rPr>
          <w:rFonts w:hint="eastAsia" w:ascii="TimesNewRoman" w:hAnsi="TimesNewRoman" w:eastAsia="仿宋_GB2312" w:cs="TimesNewRoman"/>
          <w:bCs/>
          <w:sz w:val="32"/>
          <w:szCs w:val="32"/>
          <w:lang w:val="en-US" w:eastAsia="zh-CN"/>
        </w:rPr>
        <w:t>新中国成立75周年，也是全面推进媒体深度融合发展、产业化发展的关键之年。做好今年工作的总体要求是：</w:t>
      </w:r>
      <w:r>
        <w:rPr>
          <w:rFonts w:hint="eastAsia" w:ascii="TimesNewRoman" w:hAnsi="TimesNewRoman" w:eastAsia="仿宋_GB2312" w:cs="TimesNewRoman"/>
          <w:bCs/>
          <w:sz w:val="32"/>
          <w:szCs w:val="32"/>
        </w:rPr>
        <w:t>坚持以习近平新时代中国特色社会主义思想</w:t>
      </w:r>
      <w:r>
        <w:rPr>
          <w:rFonts w:hint="eastAsia" w:ascii="TimesNewRoman" w:hAnsi="TimesNewRoman" w:eastAsia="仿宋_GB2312" w:cs="TimesNewRoman"/>
          <w:bCs/>
          <w:sz w:val="32"/>
          <w:szCs w:val="32"/>
          <w:lang w:val="en-US" w:eastAsia="zh-CN"/>
        </w:rPr>
        <w:t>特别是习近平文化思想</w:t>
      </w:r>
      <w:r>
        <w:rPr>
          <w:rFonts w:hint="eastAsia" w:ascii="TimesNewRoman" w:hAnsi="TimesNewRoman" w:eastAsia="仿宋_GB2312" w:cs="TimesNewRoman"/>
          <w:bCs/>
          <w:sz w:val="32"/>
          <w:szCs w:val="32"/>
        </w:rPr>
        <w:t>为</w:t>
      </w:r>
      <w:r>
        <w:rPr>
          <w:rFonts w:hint="eastAsia" w:ascii="TimesNewRoman" w:hAnsi="TimesNewRoman" w:eastAsia="仿宋_GB2312" w:cs="TimesNewRoman"/>
          <w:bCs/>
          <w:sz w:val="32"/>
          <w:szCs w:val="32"/>
          <w:lang w:eastAsia="zh-CN"/>
        </w:rPr>
        <w:t>指导</w:t>
      </w: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val="en-US" w:eastAsia="zh-CN"/>
        </w:rPr>
        <w:t>深入贯彻落实党的二十大和二十届二中全会精神</w:t>
      </w: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val="en-US" w:eastAsia="zh-CN"/>
        </w:rPr>
        <w:t>坚定</w:t>
      </w:r>
      <w:r>
        <w:rPr>
          <w:rFonts w:hint="eastAsia" w:ascii="TimesNewRoman" w:hAnsi="TimesNewRoman" w:eastAsia="仿宋_GB2312" w:cs="TimesNewRoman"/>
          <w:bCs/>
          <w:sz w:val="32"/>
          <w:szCs w:val="32"/>
        </w:rPr>
        <w:t>党管媒体</w:t>
      </w:r>
      <w:r>
        <w:rPr>
          <w:rFonts w:hint="eastAsia" w:ascii="TimesNewRoman" w:hAnsi="TimesNewRoman" w:eastAsia="仿宋_GB2312" w:cs="TimesNewRoman"/>
          <w:bCs/>
          <w:sz w:val="32"/>
          <w:szCs w:val="32"/>
          <w:lang w:val="en-US" w:eastAsia="zh-CN"/>
        </w:rPr>
        <w:t>根本属性</w:t>
      </w: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val="en-US" w:eastAsia="zh-CN"/>
        </w:rPr>
        <w:t>坚持数字化转型为核心、数字创意产业为突破口，抢抓全国市级融媒体中心建设试点和集团化改革两个重大历史机遇，持续推进发展模式创新、体制机制创新、内容生产创新、科技应用创新、产业拓展创新、人才建设创新，2024年总运营收入增长15%以上，到2025年淮北文化传媒集团及下属公司力争入规纳统，总运营收入突破1亿元，至2027年建设成苏鲁豫皖四省一流新型主流媒体和全国一流文化传媒集团。</w:t>
      </w:r>
    </w:p>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2024年部门（单位）预算表</w:t>
      </w:r>
    </w:p>
    <w:p>
      <w:pPr>
        <w:pStyle w:val="5"/>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5"/>
        <w:adjustRightInd w:val="0"/>
        <w:snapToGrid w:val="0"/>
        <w:spacing w:line="560" w:lineRule="exact"/>
        <w:jc w:val="center"/>
        <w:rPr>
          <w:rFonts w:hint="eastAsia"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2024年部门（单位）预算情况说明</w:t>
      </w:r>
    </w:p>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一、关于2024年收支总表的说明</w:t>
      </w:r>
    </w:p>
    <w:p>
      <w:pPr>
        <w:pStyle w:val="5"/>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eastAsia="zh-CN"/>
        </w:rPr>
        <w:t>传媒中心</w:t>
      </w:r>
      <w:r>
        <w:rPr>
          <w:rFonts w:hint="eastAsia" w:ascii="TimesNewRoman" w:hAnsi="TimesNewRoman" w:eastAsia="仿宋_GB2312" w:cs="TimesNewRoman"/>
          <w:sz w:val="32"/>
          <w:szCs w:val="32"/>
        </w:rPr>
        <w:t>所有收入和支出均纳入部门（单位）预算管理。淮北市</w:t>
      </w:r>
      <w:r>
        <w:rPr>
          <w:rFonts w:hint="eastAsia" w:ascii="TimesNewRoman" w:hAnsi="TimesNewRoman" w:eastAsia="仿宋_GB2312" w:cs="TimesNewRoman"/>
          <w:sz w:val="32"/>
          <w:szCs w:val="32"/>
          <w:lang w:eastAsia="zh-CN"/>
        </w:rPr>
        <w:t>传媒中心</w:t>
      </w:r>
      <w:r>
        <w:rPr>
          <w:rFonts w:hint="eastAsia" w:ascii="TimesNewRoman" w:hAnsi="TimesNewRoman" w:eastAsia="仿宋_GB2312" w:cs="TimesNewRoman"/>
          <w:sz w:val="32"/>
          <w:szCs w:val="32"/>
        </w:rPr>
        <w:t>2024年收支总预算</w:t>
      </w:r>
      <w:r>
        <w:rPr>
          <w:rFonts w:hint="eastAsia" w:ascii="TimesNewRoman" w:hAnsi="TimesNewRoman" w:eastAsia="仿宋_GB2312" w:cs="TimesNewRoman"/>
          <w:sz w:val="32"/>
          <w:szCs w:val="32"/>
          <w:lang w:val="en-US" w:eastAsia="zh-CN"/>
        </w:rPr>
        <w:t>5889.28</w:t>
      </w:r>
      <w:r>
        <w:rPr>
          <w:rFonts w:hint="eastAsia" w:ascii="TimesNewRoman" w:hAnsi="TimesNewRoman" w:eastAsia="仿宋_GB2312" w:cs="TimesNewRoman"/>
          <w:sz w:val="32"/>
          <w:szCs w:val="32"/>
        </w:rPr>
        <w:t>万元，收入</w:t>
      </w:r>
      <w:r>
        <w:rPr>
          <w:rFonts w:hint="eastAsia" w:ascii="TimesNewRoman" w:hAnsi="TimesNewRoman" w:eastAsia="仿宋_GB2312" w:cs="TimesNewRoman"/>
          <w:sz w:val="32"/>
          <w:szCs w:val="32"/>
          <w:lang w:eastAsia="zh-CN"/>
        </w:rPr>
        <w:t>全部是</w:t>
      </w:r>
      <w:r>
        <w:rPr>
          <w:rFonts w:hint="eastAsia" w:ascii="TimesNewRoman" w:hAnsi="TimesNewRoman" w:eastAsia="仿宋_GB2312" w:cs="TimesNewRoman"/>
          <w:sz w:val="32"/>
          <w:szCs w:val="32"/>
        </w:rPr>
        <w:t>一般公共预算拨款收入</w:t>
      </w:r>
      <w:r>
        <w:rPr>
          <w:rFonts w:hint="eastAsia" w:ascii="TimesNewRoman" w:hAnsi="TimesNewRoman" w:eastAsia="仿宋_GB2312" w:cs="TimesNewRoman"/>
          <w:sz w:val="32"/>
          <w:szCs w:val="32"/>
          <w:lang w:val="en-US" w:eastAsia="zh-CN"/>
        </w:rPr>
        <w:t>5889.28万元；支出包括文化旅游体育与传媒支出5777.39万元、住房保障支出111.89万元</w:t>
      </w:r>
      <w:r>
        <w:rPr>
          <w:rFonts w:hint="eastAsia" w:ascii="TimesNewRoman" w:hAnsi="TimesNewRoman" w:eastAsia="仿宋_GB2312" w:cs="TimesNewRoman"/>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二、关于2024年收入总表的说明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2024年收入预算</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b/>
          <w:kern w:val="0"/>
          <w:sz w:val="32"/>
          <w:szCs w:val="32"/>
          <w:lang w:val="en-US" w:eastAsia="zh-CN"/>
        </w:rPr>
        <w:t>5889.28</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%，比2023年预算减少</w:t>
      </w:r>
      <w:r>
        <w:rPr>
          <w:rFonts w:hint="eastAsia" w:ascii="TimesNewRoman" w:hAnsi="TimesNewRoman" w:eastAsia="仿宋_GB2312" w:cs="TimesNewRoman"/>
          <w:kern w:val="0"/>
          <w:sz w:val="32"/>
          <w:szCs w:val="32"/>
          <w:lang w:val="en-US" w:eastAsia="zh-CN"/>
        </w:rPr>
        <w:t>2108.24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26.36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2024年，淮北市传媒中心按照党的二十大“加强全媒体传播体系建设，塑造舆论新格局”总体部署，经市委研究决定，成立淮北文化传媒集团，一体化运行（市传媒中心人财物由淮北文化传媒集团进行企业化管理、市场化运作）</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三、关于2024年支出总表的说明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2024年支出预算</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2108.24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26.36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2024年，淮北市传媒中心按照党的二十大“加强全媒体传播体系建设，塑造舆论新格局”总体部署，经市委研究决定，成立淮北文化传媒集团，一体化运行（市传媒中心人财物由淮北文化传媒集团进行企业化管理、市场化运作）</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3199.28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54.32</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2690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45.68</w:t>
      </w:r>
      <w:r>
        <w:rPr>
          <w:rFonts w:hint="eastAsia" w:ascii="TimesNewRoman" w:hAnsi="TimesNewRoman" w:eastAsia="仿宋_GB2312" w:cs="TimesNewRoman"/>
          <w:kern w:val="0"/>
          <w:sz w:val="32"/>
          <w:szCs w:val="32"/>
        </w:rPr>
        <w:t>%，主要用于障机构日常运转、完成日常工作任务</w:t>
      </w:r>
      <w:r>
        <w:rPr>
          <w:rFonts w:hint="eastAsia" w:ascii="TimesNewRoman" w:hAnsi="TimesNewRoman" w:eastAsia="仿宋_GB2312" w:cs="TimesNewRoman"/>
          <w:kern w:val="0"/>
          <w:sz w:val="32"/>
          <w:szCs w:val="32"/>
          <w:lang w:eastAsia="zh-CN"/>
        </w:rPr>
        <w:t>及应急广播平台运维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四、关于2024年财政拨款收支总表的说明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2024年财政拨款收支预算</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万元。支出按功能分类分为：</w:t>
      </w:r>
      <w:r>
        <w:rPr>
          <w:rFonts w:hint="eastAsia" w:ascii="TimesNewRoman" w:hAnsi="TimesNewRoman" w:eastAsia="仿宋_GB2312" w:cs="TimesNewRoman"/>
          <w:kern w:val="0"/>
          <w:sz w:val="32"/>
          <w:szCs w:val="32"/>
          <w:lang w:eastAsia="zh-CN"/>
        </w:rPr>
        <w:t>文化旅游体育与传媒支出</w:t>
      </w:r>
      <w:r>
        <w:rPr>
          <w:rFonts w:hint="eastAsia" w:ascii="TimesNewRoman" w:hAnsi="TimesNewRoman" w:eastAsia="仿宋_GB2312" w:cs="TimesNewRoman"/>
          <w:kern w:val="0"/>
          <w:sz w:val="32"/>
          <w:szCs w:val="32"/>
          <w:lang w:val="en-US" w:eastAsia="zh-CN"/>
        </w:rPr>
        <w:t>5777.39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98.1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111.89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1.9</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五、关于2024年一般公共预算支出表的说明</w:t>
      </w:r>
    </w:p>
    <w:p>
      <w:pPr>
        <w:pStyle w:val="5"/>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2024年一般公共预算支出</w:t>
      </w:r>
      <w:r>
        <w:rPr>
          <w:rFonts w:hint="eastAsia" w:ascii="TimesNewRoman" w:hAnsi="TimesNewRoman" w:eastAsia="仿宋_GB2312" w:cs="TimesNewRoman"/>
          <w:kern w:val="0"/>
          <w:sz w:val="32"/>
          <w:szCs w:val="32"/>
          <w:lang w:val="en-US" w:eastAsia="zh-CN"/>
        </w:rPr>
        <w:t>5889.28</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2108.24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26.36</w:t>
      </w:r>
      <w:r>
        <w:rPr>
          <w:rFonts w:hint="eastAsia" w:ascii="TimesNewRoman" w:hAnsi="TimesNewRoman" w:eastAsia="仿宋_GB2312" w:cs="TimesNewRoman"/>
          <w:kern w:val="0"/>
          <w:sz w:val="32"/>
          <w:szCs w:val="32"/>
        </w:rPr>
        <w:t>%，主要原因是</w:t>
      </w:r>
      <w:r>
        <w:rPr>
          <w:rFonts w:hint="eastAsia" w:ascii="TimesNewRoman" w:hAnsi="TimesNewRoman" w:eastAsia="仿宋_GB2312" w:cs="TimesNewRoman"/>
          <w:kern w:val="0"/>
          <w:sz w:val="32"/>
          <w:szCs w:val="32"/>
          <w:lang w:val="en-US" w:eastAsia="zh-CN"/>
        </w:rPr>
        <w:t>2024年，淮北市传媒中心按照党的二十大“加强全媒体传播体系建设，塑造舆论新格局”总体部署，经市委研究决定，成立淮北文化传媒集团，一体化运行（市传媒中心人财物由淮北文化传媒集团进行企业化管理、市场化运作）</w:t>
      </w:r>
      <w:r>
        <w:rPr>
          <w:rFonts w:hint="eastAsia" w:ascii="TimesNewRoman" w:hAnsi="TimesNewRoman" w:eastAsia="仿宋_GB2312" w:cs="TimesNewRoman"/>
          <w:kern w:val="0"/>
          <w:sz w:val="32"/>
          <w:szCs w:val="32"/>
        </w:rPr>
        <w:t>。</w:t>
      </w:r>
    </w:p>
    <w:p>
      <w:pPr>
        <w:pStyle w:val="5"/>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文化旅游体育与传媒支出</w:t>
      </w:r>
      <w:r>
        <w:rPr>
          <w:rFonts w:hint="eastAsia" w:ascii="TimesNewRoman" w:hAnsi="TimesNewRoman" w:eastAsia="仿宋_GB2312" w:cs="TimesNewRoman"/>
          <w:kern w:val="0"/>
          <w:sz w:val="32"/>
          <w:szCs w:val="32"/>
          <w:lang w:val="en-US" w:eastAsia="zh-CN"/>
        </w:rPr>
        <w:t>5777.39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98.1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111.89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1.9</w:t>
      </w:r>
      <w:r>
        <w:rPr>
          <w:rFonts w:hint="eastAsia" w:ascii="TimesNewRoman" w:hAnsi="TimesNewRoman" w:eastAsia="仿宋_GB2312" w:cs="TimesNewRoman"/>
          <w:kern w:val="0"/>
          <w:sz w:val="32"/>
          <w:szCs w:val="32"/>
        </w:rPr>
        <w:t>%。</w:t>
      </w:r>
    </w:p>
    <w:p>
      <w:pPr>
        <w:pStyle w:val="5"/>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eastAsia="zh-CN"/>
        </w:rPr>
        <w:t>文化旅游体育与传媒支出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其他文化旅游体育与传媒支出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其他文化旅游体育与传媒支出</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5777.39</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2220.13</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27.76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2024年，淮北市传媒中心按照党的二十大“加强全媒体传播体系建设，塑造舆论新格局”总体部署，经市委研究决定，成立淮北文化传媒集团，一体化运行（市传媒中心人财物由淮北文化传媒集团进行企业化管理、市场化运作）</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2、住房保障支出（类）住房改革支出（款）</w:t>
      </w:r>
      <w:r>
        <w:rPr>
          <w:rFonts w:hint="eastAsia" w:ascii="TimesNewRoman" w:hAnsi="TimesNewRoman" w:eastAsia="仿宋_GB2312" w:cs="TimesNewRoman"/>
          <w:kern w:val="0"/>
          <w:sz w:val="32"/>
          <w:szCs w:val="32"/>
          <w:lang w:eastAsia="zh-CN"/>
        </w:rPr>
        <w:t>提租补贴</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111.89</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111.89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新增提租补贴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六、关于2024年一般公共预算基本支出表的说明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2024年一般公共预算基本支出</w:t>
      </w:r>
      <w:r>
        <w:rPr>
          <w:rFonts w:hint="eastAsia" w:ascii="TimesNewRoman" w:hAnsi="TimesNewRoman" w:eastAsia="仿宋_GB2312" w:cs="TimesNewRoman"/>
          <w:kern w:val="0"/>
          <w:sz w:val="32"/>
          <w:szCs w:val="32"/>
          <w:lang w:val="en-US" w:eastAsia="zh-CN"/>
        </w:rPr>
        <w:t>3199.28</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3199.28</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无</w:t>
      </w:r>
      <w:r>
        <w:rPr>
          <w:rFonts w:hint="eastAsia" w:ascii="TimesNewRoman" w:hAnsi="TimesNewRoman" w:eastAsia="仿宋_GB2312" w:cs="TimesNewRoman"/>
          <w:kern w:val="0"/>
          <w:sz w:val="32"/>
          <w:szCs w:val="32"/>
        </w:rPr>
        <w:t>公用经费。</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3199.28</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伙食补助费、绩效工资、机关事业单位基本养老保险费、职业年金缴费、职工基本医疗保险缴费、公务员医疗补助缴费、其他社会保障缴费、工会经费、福利费、住房公积金、医疗费、其他工资福利支出、离休费、退休费、退职（役）费、抚恤金、生活补助、医疗费补助、助学金、对其他个人和家庭的补助支出。</w:t>
      </w:r>
      <w:bookmarkStart w:id="0" w:name="_GoBack"/>
      <w:bookmarkEnd w:id="0"/>
    </w:p>
    <w:p>
      <w:pPr>
        <w:ind w:firstLine="643" w:firstLineChars="200"/>
        <w:rPr>
          <w:rFonts w:hint="eastAsia" w:ascii="TimesNewRoman" w:hAnsi="TimesNewRoman" w:eastAsia="仿宋_GB2312" w:cs="TimesNewRoman"/>
          <w:b/>
          <w:kern w:val="0"/>
          <w:sz w:val="32"/>
          <w:szCs w:val="32"/>
        </w:rPr>
      </w:pPr>
      <w:r>
        <w:rPr>
          <w:rFonts w:hint="eastAsia" w:ascii="TimesNewRoman" w:hAnsi="TimesNewRoman" w:eastAsia="仿宋_GB2312" w:cs="TimesNewRoman"/>
          <w:b/>
          <w:kern w:val="0"/>
          <w:sz w:val="32"/>
          <w:szCs w:val="32"/>
        </w:rPr>
        <w:t>（二）</w:t>
      </w:r>
      <w:r>
        <w:rPr>
          <w:rFonts w:hint="eastAsia" w:ascii="TimesNewRoman" w:hAnsi="TimesNewRoman" w:eastAsia="仿宋_GB2312" w:cs="TimesNewRoman"/>
          <w:b/>
          <w:kern w:val="0"/>
          <w:sz w:val="32"/>
          <w:szCs w:val="32"/>
          <w:lang w:eastAsia="zh-CN"/>
        </w:rPr>
        <w:t>无公用经费</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七、关于2024年政府性基金预算支出表的说明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年没有政府性基金预算拨款收入，也没有使用政府性基金预算拨款安排的支出。</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八、关于2024年国有资本经营预算支出表的说明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年没有国有资本经营预算拨款收入，也没有使用国有资本经营预算拨款安排的支出。</w:t>
      </w:r>
    </w:p>
    <w:p>
      <w:pPr>
        <w:pStyle w:val="5"/>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NewRoman" w:hAnsi="TimesNewRoman" w:eastAsia="黑体" w:cs="TimesNewRoman"/>
          <w:bCs/>
          <w:sz w:val="32"/>
          <w:szCs w:val="32"/>
        </w:rPr>
        <w:t>九、关于2024年项目支出表的说明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2024年预算共安排项目支出</w:t>
      </w:r>
      <w:r>
        <w:rPr>
          <w:rFonts w:hint="eastAsia" w:ascii="TimesNewRoman" w:hAnsi="TimesNewRoman" w:eastAsia="仿宋_GB2312" w:cs="TimesNewRoman"/>
          <w:kern w:val="0"/>
          <w:sz w:val="32"/>
          <w:szCs w:val="32"/>
          <w:lang w:val="en-US" w:eastAsia="zh-CN"/>
        </w:rPr>
        <w:t>2690</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773</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40.32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新增支持媒体融合定补资金</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2690</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2690</w:t>
      </w:r>
      <w:r>
        <w:rPr>
          <w:rFonts w:hint="eastAsia" w:ascii="TimesNewRoman" w:hAnsi="TimesNewRoman" w:eastAsia="仿宋_GB2312" w:cs="TimesNewRoman"/>
          <w:kern w:val="0"/>
          <w:sz w:val="32"/>
          <w:szCs w:val="32"/>
        </w:rPr>
        <w:t>万。</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十、关于2024年政府采购支出表的说明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2024年预算安排政府采购支出</w:t>
      </w:r>
      <w:r>
        <w:rPr>
          <w:rFonts w:hint="eastAsia" w:ascii="TimesNewRoman" w:hAnsi="TimesNewRoman" w:eastAsia="仿宋_GB2312" w:cs="TimesNewRoman"/>
          <w:kern w:val="0"/>
          <w:sz w:val="32"/>
          <w:szCs w:val="32"/>
          <w:lang w:val="en-US" w:eastAsia="zh-CN"/>
        </w:rPr>
        <w:t>87.14</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290</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76.9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厉行勤俭节约，减少项目安排</w:t>
      </w:r>
      <w:r>
        <w:rPr>
          <w:rFonts w:hint="eastAsia" w:ascii="TimesNewRoman" w:hAnsi="TimesNewRoman" w:eastAsia="仿宋_GB2312" w:cs="TimesNewRoman"/>
          <w:kern w:val="0"/>
          <w:sz w:val="32"/>
          <w:szCs w:val="32"/>
        </w:rPr>
        <w:t>。其中，一般公共预算安排</w:t>
      </w:r>
      <w:r>
        <w:rPr>
          <w:rFonts w:hint="eastAsia" w:ascii="TimesNewRoman" w:hAnsi="TimesNewRoman" w:eastAsia="仿宋_GB2312" w:cs="TimesNewRoman"/>
          <w:kern w:val="0"/>
          <w:sz w:val="32"/>
          <w:szCs w:val="32"/>
          <w:lang w:val="en-US" w:eastAsia="zh-CN"/>
        </w:rPr>
        <w:t>87.14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十一、关于2024年政府购买服务支出表的说明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年没有安排政府购买服务支出。</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val="en-US" w:eastAsia="zh-CN"/>
        </w:rPr>
        <w:t>“应急广播市级平台运维经费”项目</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w:t>
      </w:r>
      <w:r>
        <w:rPr>
          <w:rFonts w:hint="eastAsia" w:ascii="TimesNewRoman" w:hAnsi="TimesNewRoman" w:eastAsia="仿宋_GB2312" w:cs="TimesNewRoman"/>
          <w:kern w:val="0"/>
          <w:sz w:val="32"/>
          <w:szCs w:val="32"/>
          <w:lang w:val="en-US" w:eastAsia="zh-CN"/>
        </w:rPr>
        <w:t>为深入贯彻落实党中央，国务院和省委省政府关于加快推进应急广播体系建设的文件精神，我市于2019年启动应急广播项目，为提升全市应急广播体系效能，发挥市传媒中心在网络传输，节目制作，技术保障，媒体融合等方面的优势，采取由市，县区广播电视新闻出版局负责建设，监督和业务监督，委托市传媒中心统一运维模式，建立全市应急广播系统的常态化运转机制。</w:t>
      </w:r>
    </w:p>
    <w:p>
      <w:pPr>
        <w:ind w:firstLine="640" w:firstLineChars="200"/>
        <w:rPr>
          <w:rFonts w:ascii="TimesNewRoman" w:hAnsi="TimesNewRoman" w:eastAsia="仿宋_GB2312" w:cs="TimesNewRoman"/>
          <w:kern w:val="0"/>
          <w:sz w:val="32"/>
          <w:szCs w:val="32"/>
        </w:rPr>
      </w:pP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val="en-US" w:eastAsia="zh-CN"/>
        </w:rPr>
        <w:t>。淮北市应急广播体系建设领导小组专题会议纪要</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val="en-US" w:eastAsia="zh-CN"/>
        </w:rPr>
        <w:t>淮北市传媒中心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2024年1-12月份</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val="en-US" w:eastAsia="zh-CN"/>
        </w:rPr>
        <w:t>该项目年度预算金额195万元，主要用于应急广播的运行维护。</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195万元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发挥市传媒中心在网络传输，节目制作，技术保障等方面的优势，充分发挥宣传作用。按照“平时服务，战时应急，平战结合”原则，发挥全市经济广播体系效能，充分发挥日常宣传作用。</w:t>
      </w:r>
    </w:p>
    <w:tbl>
      <w:tblPr>
        <w:tblStyle w:val="7"/>
        <w:tblW w:w="9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3"/>
        <w:gridCol w:w="615"/>
        <w:gridCol w:w="240"/>
        <w:gridCol w:w="406"/>
        <w:gridCol w:w="2445"/>
        <w:gridCol w:w="1573"/>
        <w:gridCol w:w="2025"/>
        <w:gridCol w:w="1"/>
        <w:gridCol w:w="202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gridAfter w:val="1"/>
          <w:wAfter w:w="1" w:type="dxa"/>
          <w:trHeight w:val="253" w:hRule="atLeast"/>
        </w:trPr>
        <w:tc>
          <w:tcPr>
            <w:tcW w:w="7677"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b/>
                <w:kern w:val="2"/>
                <w:sz w:val="21"/>
                <w:szCs w:val="21"/>
              </w:rPr>
            </w:pPr>
            <w:r>
              <w:rPr>
                <w:rFonts w:hint="eastAsia" w:ascii="宋体" w:hAnsi="宋体" w:eastAsia="宋体" w:cs="宋体"/>
                <w:b/>
                <w:color w:val="000000"/>
                <w:kern w:val="0"/>
                <w:sz w:val="28"/>
                <w:szCs w:val="28"/>
                <w:lang w:val="en-US" w:eastAsia="zh-CN" w:bidi="ar"/>
              </w:rPr>
              <w:t>项目支出绩效目标表</w:t>
            </w:r>
          </w:p>
        </w:tc>
        <w:tc>
          <w:tcPr>
            <w:tcW w:w="202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70" w:hRule="atLeast"/>
        </w:trPr>
        <w:tc>
          <w:tcPr>
            <w:tcW w:w="7677"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（2024年度）                                </w:t>
            </w:r>
          </w:p>
        </w:tc>
        <w:tc>
          <w:tcPr>
            <w:tcW w:w="2026"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2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项目名称</w:t>
            </w:r>
          </w:p>
        </w:tc>
        <w:tc>
          <w:tcPr>
            <w:tcW w:w="644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应急广播市级平台运维经费</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主管部门   及代码</w:t>
            </w: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15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实施单位</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淮北市传媒中心</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项目来源</w:t>
            </w: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本级申报</w:t>
            </w:r>
          </w:p>
        </w:tc>
        <w:tc>
          <w:tcPr>
            <w:tcW w:w="15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项目期</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2024</w:t>
            </w:r>
            <w:r>
              <w:rPr>
                <w:rFonts w:hint="eastAsia" w:ascii="宋体" w:hAnsi="宋体" w:eastAsia="宋体" w:cs="宋体"/>
                <w:kern w:val="2"/>
                <w:sz w:val="21"/>
                <w:szCs w:val="21"/>
                <w:lang w:val="en-US" w:eastAsia="zh-CN" w:bidi="ar"/>
              </w:rPr>
              <w:t>年</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8"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项目资金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（万元）</w:t>
            </w: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年度资金总额：</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195万元</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其中：财政拨款</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195万元</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上年结转</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其他资金</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年度</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目标</w:t>
            </w:r>
          </w:p>
        </w:tc>
        <w:tc>
          <w:tcPr>
            <w:tcW w:w="730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发挥传媒中心在网络传输、节目制作、技术保障、媒体融合等方面的优势，充分发挥日常宣传作用。</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7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绩</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效</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标</w:t>
            </w: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一级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指标</w:t>
            </w:r>
          </w:p>
        </w:tc>
        <w:tc>
          <w:tcPr>
            <w:tcW w:w="6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二级指标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三级指标</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指标值</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产出指标</w:t>
            </w: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数量指标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日常维护信息系统数量</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rPr>
              <w:t>≥</w:t>
            </w:r>
            <w:r>
              <w:rPr>
                <w:rFonts w:hint="eastAsia" w:ascii="宋体" w:hAnsi="Calibri" w:eastAsia="宋体" w:cs="宋体"/>
                <w:kern w:val="2"/>
                <w:sz w:val="20"/>
                <w:szCs w:val="20"/>
                <w:lang w:val="en-US" w:eastAsia="zh-CN"/>
              </w:rPr>
              <w:t>10个</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质量指标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信息系统日常维护合格率</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rPr>
              <w:t>≥</w:t>
            </w:r>
            <w:r>
              <w:rPr>
                <w:rFonts w:hint="eastAsia" w:ascii="宋体" w:hAnsi="Calibri" w:eastAsia="宋体" w:cs="宋体"/>
                <w:kern w:val="2"/>
                <w:sz w:val="20"/>
                <w:szCs w:val="20"/>
                <w:lang w:val="en-US" w:eastAsia="zh-CN"/>
              </w:rPr>
              <w:t>85%</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时效指标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等保测评及安全运维周期</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有所提升</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成本指标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机房网络及信息安全维保成本</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lang w:val="en-US" w:eastAsia="zh-CN"/>
              </w:rPr>
              <w:t>195万元</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效益指标</w:t>
            </w: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经济效益指标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减少项目运行成本、运维费用</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有所提升</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社会效益指标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对信息安全应急响应能力的改善和提升程度</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rPr>
              <w:t>≥</w:t>
            </w:r>
            <w:r>
              <w:rPr>
                <w:rFonts w:hint="eastAsia" w:ascii="宋体" w:hAnsi="Calibri" w:eastAsia="宋体" w:cs="宋体"/>
                <w:kern w:val="2"/>
                <w:sz w:val="20"/>
                <w:szCs w:val="20"/>
                <w:lang w:val="en-US" w:eastAsia="zh-CN"/>
              </w:rPr>
              <w:t>70%</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生态效益指标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汉仪中秀体简" w:hAnsi="汉仪中秀体简" w:eastAsia="汉仪中秀体简" w:cs="汉仪中秀体简"/>
                <w:color w:val="000000"/>
                <w:kern w:val="0"/>
                <w:sz w:val="20"/>
                <w:szCs w:val="20"/>
                <w:lang w:eastAsia="zh-CN"/>
              </w:rPr>
            </w:pPr>
            <w:r>
              <w:rPr>
                <w:rFonts w:hint="eastAsia" w:ascii="汉仪中秀体简" w:hAnsi="汉仪中秀体简" w:eastAsia="汉仪中秀体简" w:cs="汉仪中秀体简"/>
                <w:color w:val="000000"/>
                <w:kern w:val="0"/>
                <w:sz w:val="20"/>
                <w:szCs w:val="20"/>
                <w:lang w:eastAsia="zh-CN"/>
              </w:rPr>
              <w:t>对减少硬件能耗支出，实现节能减排的影响程度</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r>
              <w:rPr>
                <w:rFonts w:hint="eastAsia" w:ascii="汉仪中秀体简" w:hAnsi="汉仪中秀体简" w:eastAsia="汉仪中秀体简" w:cs="汉仪中秀体简"/>
                <w:color w:val="000000"/>
                <w:kern w:val="0"/>
                <w:sz w:val="20"/>
                <w:szCs w:val="20"/>
                <w:lang w:val="en-US" w:eastAsia="zh-CN" w:bidi="ar"/>
              </w:rPr>
              <w:t>有所提升</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汉仪中秀体简" w:hAnsi="汉仪中秀体简" w:eastAsia="汉仪中秀体简" w:cs="汉仪中秀体简"/>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可持续影响指标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对提高或改善公共服务水平的持续影响程度</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rPr>
              <w:t>≥</w:t>
            </w:r>
            <w:r>
              <w:rPr>
                <w:rFonts w:hint="eastAsia" w:ascii="宋体" w:hAnsi="Calibri" w:eastAsia="宋体" w:cs="宋体"/>
                <w:kern w:val="2"/>
                <w:sz w:val="20"/>
                <w:szCs w:val="20"/>
                <w:lang w:val="en-US" w:eastAsia="zh-CN"/>
              </w:rPr>
              <w:t>80%</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646"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6"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公众满意度</w:t>
            </w:r>
          </w:p>
        </w:tc>
        <w:tc>
          <w:tcPr>
            <w:tcW w:w="35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eastAsia="zh-CN"/>
              </w:rPr>
            </w:pPr>
            <w:r>
              <w:rPr>
                <w:rFonts w:hint="eastAsia" w:ascii="宋体" w:hAnsi="Calibri" w:eastAsia="宋体" w:cs="宋体"/>
                <w:kern w:val="2"/>
                <w:sz w:val="20"/>
                <w:szCs w:val="20"/>
              </w:rPr>
              <w:t>≥</w:t>
            </w:r>
            <w:r>
              <w:rPr>
                <w:rFonts w:hint="eastAsia" w:ascii="宋体" w:hAnsi="Calibri" w:eastAsia="宋体" w:cs="宋体"/>
                <w:kern w:val="2"/>
                <w:sz w:val="20"/>
                <w:szCs w:val="20"/>
                <w:lang w:val="en-US" w:eastAsia="zh-CN"/>
              </w:rPr>
              <w:t>90%</w:t>
            </w:r>
          </w:p>
        </w:tc>
        <w:tc>
          <w:tcPr>
            <w:tcW w:w="20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bl>
    <w:p>
      <w:pPr>
        <w:ind w:firstLine="420" w:firstLineChars="200"/>
      </w:pPr>
    </w:p>
    <w:p>
      <w:pPr>
        <w:ind w:firstLine="420" w:firstLineChars="200"/>
      </w:pP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eastAsia" w:ascii="仿宋_GB2312" w:hAnsi="TimesNewRoman" w:eastAsia="仿宋_GB2312" w:cs="仿宋_GB2312"/>
          <w:kern w:val="0"/>
          <w:sz w:val="32"/>
          <w:szCs w:val="32"/>
          <w:lang w:val="en-US" w:eastAsia="zh-CN" w:bidi="ar"/>
        </w:rPr>
        <w:t>2</w:t>
      </w: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w:t>
      </w:r>
      <w:r>
        <w:rPr>
          <w:rFonts w:hint="eastAsia" w:ascii="TimesNewRoman" w:hAnsi="TimesNewRoman" w:eastAsia="仿宋_GB2312" w:cs="TimesNewRoman"/>
          <w:kern w:val="0"/>
          <w:sz w:val="32"/>
          <w:szCs w:val="32"/>
          <w:lang w:val="en-US" w:eastAsia="zh-CN" w:bidi="ar"/>
        </w:rPr>
        <w:t>安徽日报定向补助资金</w:t>
      </w:r>
      <w:r>
        <w:rPr>
          <w:rFonts w:hint="default" w:ascii="TimesNewRoman" w:hAnsi="TimesNewRoman" w:eastAsia="仿宋_GB2312" w:cs="TimesNewRoman"/>
          <w:kern w:val="0"/>
          <w:sz w:val="32"/>
          <w:szCs w:val="32"/>
          <w:lang w:val="en-US" w:eastAsia="zh-CN" w:bidi="ar"/>
        </w:rPr>
        <w:t>”项目</w:t>
      </w:r>
      <w:r>
        <w:rPr>
          <w:rFonts w:hint="default" w:ascii="仿宋_GB2312" w:hAnsi="TimesNewRoman" w:eastAsia="仿宋_GB2312" w:cs="仿宋_GB2312"/>
          <w:kern w:val="0"/>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1</w:t>
      </w:r>
      <w:r>
        <w:rPr>
          <w:rFonts w:hint="default" w:ascii="仿宋_GB2312" w:hAnsi="TimesNewRoman" w:eastAsia="仿宋_GB2312" w:cs="仿宋_GB2312"/>
          <w:kern w:val="0"/>
          <w:sz w:val="32"/>
          <w:szCs w:val="32"/>
          <w:lang w:val="en-US" w:eastAsia="zh-CN" w:bidi="ar"/>
        </w:rPr>
        <w:t>）项目概述。为加大对淮北市经济和社会发展的宣传，突出展现淮北市在学习宣传贯彻习近平新时代中国特色社会主义思想和党的二十大、2023年全国两会精神，在加快建设现代化美好安徽和发挥自身优势夯实产业基础、奋力推动皖北地区全面振兴中取得的各项成就，淮北市传媒中心受中共淮北市委宣传部委托，与安徽日报社就宣传战略合作达成协议。双方战略合作将有利于淮北市改革、发展、稳定大局， 确保正确舆论导向，符合宣传规律。</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NewRoman" w:eastAsia="仿宋_GB2312" w:cs="仿宋_GB2312"/>
          <w:kern w:val="0"/>
          <w:sz w:val="32"/>
          <w:szCs w:val="32"/>
          <w:lang w:val="en-US" w:eastAsia="zh-CN" w:bidi="ar"/>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2</w:t>
      </w:r>
      <w:r>
        <w:rPr>
          <w:rFonts w:hint="default" w:ascii="仿宋_GB2312" w:hAnsi="TimesNewRoman" w:eastAsia="仿宋_GB2312" w:cs="仿宋_GB2312"/>
          <w:kern w:val="0"/>
          <w:sz w:val="32"/>
          <w:szCs w:val="32"/>
          <w:lang w:val="en-US" w:eastAsia="zh-CN" w:bidi="ar"/>
        </w:rPr>
        <w:t>）立项依据。根据中共市委宣传部提交淮北市政府《关于申请支持〈安徽日报〉定向补助资金的请示》〔淮宣（2023 ）9号〕文件精神，根据省委要求，各地市要加强同《安徽日报》的合作，依托省级优质媒体资源，进一步加大地市宣传力度，提升城市美誉度和影响力。市财政每年安排定向补助资金50万元。市委宣传部负责督促执行。市传媒中心受市委宣传部委托，与安徽日报社就宣传战略合作达成协议。</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3</w:t>
      </w:r>
      <w:r>
        <w:rPr>
          <w:rFonts w:hint="default" w:ascii="仿宋_GB2312" w:hAnsi="TimesNewRoman" w:eastAsia="仿宋_GB2312" w:cs="仿宋_GB2312"/>
          <w:kern w:val="0"/>
          <w:sz w:val="32"/>
          <w:szCs w:val="32"/>
          <w:lang w:val="en-US" w:eastAsia="zh-CN" w:bidi="ar"/>
        </w:rPr>
        <w:t>）实施主体。淮北市传媒中心</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4</w:t>
      </w:r>
      <w:r>
        <w:rPr>
          <w:rFonts w:hint="default" w:ascii="仿宋_GB2312" w:hAnsi="TimesNewRoman" w:eastAsia="仿宋_GB2312" w:cs="仿宋_GB2312"/>
          <w:kern w:val="0"/>
          <w:sz w:val="32"/>
          <w:szCs w:val="32"/>
          <w:lang w:val="en-US" w:eastAsia="zh-CN" w:bidi="ar"/>
        </w:rPr>
        <w:t>）起止时间。</w:t>
      </w:r>
      <w:r>
        <w:rPr>
          <w:rFonts w:hint="default" w:ascii="TimesNewRoman" w:hAnsi="TimesNewRoman" w:eastAsia="仿宋_GB2312" w:cs="TimesNewRoman"/>
          <w:kern w:val="0"/>
          <w:sz w:val="32"/>
          <w:szCs w:val="32"/>
          <w:lang w:val="en-US" w:eastAsia="zh-CN" w:bidi="ar"/>
        </w:rPr>
        <w:t>2024</w:t>
      </w:r>
      <w:r>
        <w:rPr>
          <w:rFonts w:hint="default" w:ascii="仿宋_GB2312" w:hAnsi="TimesNewRoman" w:eastAsia="仿宋_GB2312" w:cs="仿宋_GB2312"/>
          <w:kern w:val="0"/>
          <w:sz w:val="32"/>
          <w:szCs w:val="32"/>
          <w:lang w:val="en-US" w:eastAsia="zh-CN" w:bidi="ar"/>
        </w:rPr>
        <w:t>年</w:t>
      </w:r>
      <w:r>
        <w:rPr>
          <w:rFonts w:hint="default" w:ascii="TimesNewRoman" w:hAnsi="TimesNewRoman" w:eastAsia="TimesNewRoman" w:cs="TimesNewRoman"/>
          <w:kern w:val="0"/>
          <w:sz w:val="32"/>
          <w:szCs w:val="32"/>
          <w:lang w:val="en-US" w:eastAsia="zh-CN" w:bidi="ar"/>
        </w:rPr>
        <w:t>1-12</w:t>
      </w:r>
      <w:r>
        <w:rPr>
          <w:rFonts w:hint="default" w:ascii="仿宋_GB2312" w:hAnsi="TimesNewRoman" w:eastAsia="仿宋_GB2312" w:cs="仿宋_GB2312"/>
          <w:kern w:val="0"/>
          <w:sz w:val="32"/>
          <w:szCs w:val="32"/>
          <w:lang w:val="en-US" w:eastAsia="zh-CN" w:bidi="ar"/>
        </w:rPr>
        <w:t>月份</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5</w:t>
      </w:r>
      <w:r>
        <w:rPr>
          <w:rFonts w:hint="default" w:ascii="仿宋_GB2312" w:hAnsi="TimesNewRoman" w:eastAsia="仿宋_GB2312" w:cs="仿宋_GB2312"/>
          <w:kern w:val="0"/>
          <w:sz w:val="32"/>
          <w:szCs w:val="32"/>
          <w:lang w:val="en-US" w:eastAsia="zh-CN" w:bidi="ar"/>
        </w:rPr>
        <w:t>）项目内容。该项目年度预算金额</w:t>
      </w:r>
      <w:r>
        <w:rPr>
          <w:rFonts w:hint="eastAsia" w:ascii="TimesNewRoman" w:hAnsi="TimesNewRoman" w:eastAsia="仿宋_GB2312" w:cs="TimesNewRoman"/>
          <w:kern w:val="0"/>
          <w:sz w:val="32"/>
          <w:szCs w:val="32"/>
          <w:lang w:val="en-US" w:eastAsia="zh-CN" w:bidi="ar"/>
        </w:rPr>
        <w:t>50</w:t>
      </w:r>
      <w:r>
        <w:rPr>
          <w:rFonts w:hint="default" w:ascii="仿宋_GB2312" w:hAnsi="TimesNewRoman" w:eastAsia="仿宋_GB2312" w:cs="仿宋_GB2312"/>
          <w:kern w:val="0"/>
          <w:sz w:val="32"/>
          <w:szCs w:val="32"/>
          <w:lang w:val="en-US" w:eastAsia="zh-CN" w:bidi="ar"/>
        </w:rPr>
        <w:t>万元，主要用于进一步加大淮北宣传力度，提升城市美誉度和影响力。</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6</w:t>
      </w:r>
      <w:r>
        <w:rPr>
          <w:rFonts w:hint="default" w:ascii="仿宋_GB2312" w:hAnsi="TimesNewRoman" w:eastAsia="仿宋_GB2312" w:cs="仿宋_GB2312"/>
          <w:kern w:val="0"/>
          <w:sz w:val="32"/>
          <w:szCs w:val="32"/>
          <w:lang w:val="en-US" w:eastAsia="zh-CN" w:bidi="ar"/>
        </w:rPr>
        <w:t>）年度预算安排。</w:t>
      </w:r>
      <w:r>
        <w:rPr>
          <w:rFonts w:hint="eastAsia" w:ascii="TimesNewRoman" w:hAnsi="TimesNewRoman" w:eastAsia="仿宋_GB2312" w:cs="TimesNewRoman"/>
          <w:kern w:val="0"/>
          <w:sz w:val="32"/>
          <w:szCs w:val="32"/>
          <w:lang w:val="en-US" w:eastAsia="zh-CN" w:bidi="ar"/>
        </w:rPr>
        <w:t>50</w:t>
      </w:r>
      <w:r>
        <w:rPr>
          <w:rFonts w:hint="default" w:ascii="仿宋_GB2312" w:hAnsi="TimesNewRoman" w:eastAsia="仿宋_GB2312" w:cs="仿宋_GB2312"/>
          <w:kern w:val="0"/>
          <w:sz w:val="32"/>
          <w:szCs w:val="32"/>
          <w:lang w:val="en-US" w:eastAsia="zh-CN" w:bidi="ar"/>
        </w:rPr>
        <w:t>万元</w:t>
      </w:r>
    </w:p>
    <w:p>
      <w:pPr>
        <w:keepNext w:val="0"/>
        <w:keepLines w:val="0"/>
        <w:widowControl w:val="0"/>
        <w:suppressLineNumbers w:val="0"/>
        <w:spacing w:before="0" w:beforeAutospacing="0" w:after="0" w:afterAutospacing="0"/>
        <w:ind w:left="0" w:right="0" w:firstLine="640" w:firstLineChars="200"/>
        <w:jc w:val="both"/>
        <w:rPr>
          <w:rFonts w:hint="default" w:ascii="TimesNewRoman" w:hAnsi="TimesNewRoman" w:eastAsia="仿宋_GB2312" w:cs="TimesNewRoman"/>
          <w:kern w:val="0"/>
          <w:sz w:val="32"/>
          <w:szCs w:val="32"/>
        </w:rPr>
      </w:pPr>
      <w:r>
        <w:rPr>
          <w:rFonts w:hint="default" w:ascii="仿宋_GB2312" w:hAnsi="TimesNewRoman" w:eastAsia="仿宋_GB2312" w:cs="仿宋_GB2312"/>
          <w:kern w:val="0"/>
          <w:sz w:val="32"/>
          <w:szCs w:val="32"/>
          <w:lang w:val="en-US" w:eastAsia="zh-CN" w:bidi="ar"/>
        </w:rPr>
        <w:t>（</w:t>
      </w:r>
      <w:r>
        <w:rPr>
          <w:rFonts w:hint="default" w:ascii="TimesNewRoman" w:hAnsi="TimesNewRoman" w:eastAsia="仿宋_GB2312" w:cs="TimesNewRoman"/>
          <w:kern w:val="0"/>
          <w:sz w:val="32"/>
          <w:szCs w:val="32"/>
          <w:lang w:val="en-US" w:eastAsia="zh-CN" w:bidi="ar"/>
        </w:rPr>
        <w:t>7</w:t>
      </w:r>
      <w:r>
        <w:rPr>
          <w:rFonts w:hint="default" w:ascii="仿宋_GB2312" w:hAnsi="TimesNewRoman" w:eastAsia="仿宋_GB2312" w:cs="仿宋_GB2312"/>
          <w:kern w:val="0"/>
          <w:sz w:val="32"/>
          <w:szCs w:val="32"/>
          <w:lang w:val="en-US" w:eastAsia="zh-CN" w:bidi="ar"/>
        </w:rPr>
        <w:t>）绩效目标。依托省级优质媒体资源，进一步加大淮北宣传力度，提升城市美誉度和影响力作达成协议</w:t>
      </w:r>
      <w:r>
        <w:rPr>
          <w:rFonts w:hint="default" w:ascii="TimesNewRoman" w:hAnsi="TimesNewRoman" w:eastAsia="仿宋_GB2312" w:cs="TimesNewRoman"/>
          <w:kern w:val="0"/>
          <w:sz w:val="32"/>
          <w:szCs w:val="32"/>
          <w:lang w:val="en-US" w:eastAsia="zh-CN" w:bidi="ar"/>
        </w:rPr>
        <w:t>。</w:t>
      </w:r>
    </w:p>
    <w:tbl>
      <w:tblPr>
        <w:tblStyle w:val="7"/>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2"/>
        <w:gridCol w:w="614"/>
        <w:gridCol w:w="239"/>
        <w:gridCol w:w="405"/>
        <w:gridCol w:w="2929"/>
        <w:gridCol w:w="1572"/>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3" w:hRule="atLeast"/>
        </w:trPr>
        <w:tc>
          <w:tcPr>
            <w:tcW w:w="8156"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b/>
                <w:kern w:val="2"/>
                <w:sz w:val="21"/>
                <w:szCs w:val="21"/>
              </w:rPr>
            </w:pPr>
            <w:r>
              <w:rPr>
                <w:rFonts w:hint="eastAsia" w:ascii="宋体" w:hAnsi="宋体" w:eastAsia="宋体" w:cs="宋体"/>
                <w:b/>
                <w:color w:val="000000"/>
                <w:kern w:val="0"/>
                <w:sz w:val="28"/>
                <w:szCs w:val="28"/>
                <w:lang w:val="en-US" w:eastAsia="zh-CN" w:bidi="ar"/>
              </w:rPr>
              <w:t>项目支出绩效目标表</w:t>
            </w:r>
          </w:p>
        </w:tc>
        <w:tc>
          <w:tcPr>
            <w:tcW w:w="202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56"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（2024年度）                                </w:t>
            </w:r>
          </w:p>
        </w:tc>
        <w:tc>
          <w:tcPr>
            <w:tcW w:w="2025"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项目名称</w:t>
            </w:r>
          </w:p>
        </w:tc>
        <w:tc>
          <w:tcPr>
            <w:tcW w:w="69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安徽日报定向补助资金</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主管部门   及代码</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实施单位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淮北市传媒中心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项目来源</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本级申报</w:t>
            </w: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项目期</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2024</w:t>
            </w:r>
            <w:r>
              <w:rPr>
                <w:rFonts w:hint="eastAsia" w:ascii="宋体" w:hAnsi="宋体" w:eastAsia="宋体" w:cs="宋体"/>
                <w:kern w:val="2"/>
                <w:sz w:val="21"/>
                <w:szCs w:val="21"/>
                <w:lang w:val="en-US" w:eastAsia="zh-CN" w:bidi="ar"/>
              </w:rPr>
              <w:t>年</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项目资金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（万元）</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年度资金总额：</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50万元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其中：财政拨款</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50万元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上年结转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其他资金</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年度</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目标</w:t>
            </w:r>
          </w:p>
        </w:tc>
        <w:tc>
          <w:tcPr>
            <w:tcW w:w="778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依托省级优质媒体资源，进一步加大淮北宣传力度，提升城市美誉度和影响力作达成协议。</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绩</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效</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标</w:t>
            </w:r>
          </w:p>
        </w:tc>
        <w:tc>
          <w:tcPr>
            <w:tcW w:w="6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一级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指标</w:t>
            </w: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二级指标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三级指标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指标值</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产出指标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数量指标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计划在安徽日报宣传版面数量</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≥3个</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质量指标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在报刊杂志（网站、微信公众号、APP）推送信息质量达标率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时效指标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经费支出时效性</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12月20日前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成本指标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项目单位成本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50万元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效益指标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经济效益指标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提高淮北市知名度、美誉度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社会效益指标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淮北各项工作宣传知晓率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生态效益指标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汉仪中秀体简" w:hAnsi="汉仪中秀体简" w:eastAsia="汉仪中秀体简" w:cs="汉仪中秀体简"/>
                <w:color w:val="000000"/>
                <w:kern w:val="0"/>
                <w:sz w:val="20"/>
                <w:szCs w:val="20"/>
              </w:rPr>
            </w:pPr>
            <w:r>
              <w:rPr>
                <w:rFonts w:hint="eastAsia" w:ascii="汉仪中秀体简" w:hAnsi="汉仪中秀体简" w:eastAsia="汉仪中秀体简" w:cs="汉仪中秀体简"/>
                <w:color w:val="000000"/>
                <w:kern w:val="0"/>
                <w:sz w:val="20"/>
                <w:szCs w:val="20"/>
                <w:lang w:val="en-US" w:eastAsia="zh-CN" w:bidi="ar"/>
              </w:rPr>
              <w:t>助力文明城市建设效果提升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r>
              <w:rPr>
                <w:rFonts w:hint="default" w:ascii="汉仪中秀体简" w:hAnsi="汉仪中秀体简" w:eastAsia="汉仪中秀体简" w:cs="汉仪中秀体简"/>
                <w:color w:val="000000"/>
                <w:kern w:val="0"/>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可持续影响指标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助力淮北城市形象宣传</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服务对象满意度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≤90%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bl>
    <w:p>
      <w:pPr>
        <w:keepNext w:val="0"/>
        <w:keepLines w:val="0"/>
        <w:widowControl w:val="0"/>
        <w:suppressLineNumbers w:val="0"/>
        <w:spacing w:before="0" w:beforeAutospacing="0" w:after="0" w:afterAutospacing="0"/>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3、“2024年度文明创建”项目。</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1）项目概述。2024年为新一轮全国文明城市创建起始之年，持续实施全国文明城市创建项目，按照《全国文明城市测评体系》Ⅲ-14选树宣传先进模范有关要求，道德模范、身边好人先进事迹必须在市级及以上媒体宣传报道，市文明办委托市传媒中心拍摄、制作、发布“道德模范、身边好人”系列专题片、短视频，全年完成不少于12部作品。重点以“好人”为原型创作动漫、vlog、声音故事、微电影及歌曲等原创产品在市级及以上主流媒体刊发，在抖音、快手、B站等视频平台宣传好人事迹。同时采写、编辑、宣传好人先进事迹稿件，全年完成不少于40篇。重点以“好人365”、“地方经验”栏目稿件在市级及以上主流媒体刊发；好人事迹点赞评议以及在学习强国平台、新华网、人民网、光明网等重点新闻网站及其“两微一端”进行图文宣传。采访、制作、结集出版我市2018年以来共35位入选的“中国好人”先进事迹，印刷出版“大爱无疆—中国好人在淮北”践行核心价值观普及读物2000本，开展“好人好报”主题赠报关爱礼遇活动，举办2024年淮北市道德模范与身边好人大型现场交流活动。</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2）立项依据。《全国文明城市（地级以上）测评体系（2021年版）》、《全国未成年人思想道德建设工作测评体系（2021年版）》和《全国文明城市指标体系及测评要求》相关测评标准及中央、省文明办部署重点工作。</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（3）实施主体。淮北市传媒中心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（4）起止时间。2024年1-12月份</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（5）项目内容。该项目年度预算金额95万元，主要用于进一步加大淮北宣传力度，提升城市美誉度和影响力。</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（6）年度预算安排。95万元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（7）绩效目标。2024年为新一轮全国文明城市创建起始之年， 持续实施全国文明城市创建项目，确保文明城市创建工作常态化长效化，顺利完成文明城市创建指数。依托淮北市传媒中心强大的优质媒体资源，进一步加大淮北宣传力度，提升城市美誉度和影响力。</w:t>
      </w:r>
    </w:p>
    <w:tbl>
      <w:tblPr>
        <w:tblStyle w:val="7"/>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2"/>
        <w:gridCol w:w="614"/>
        <w:gridCol w:w="239"/>
        <w:gridCol w:w="405"/>
        <w:gridCol w:w="2929"/>
        <w:gridCol w:w="1572"/>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3" w:hRule="atLeast"/>
        </w:trPr>
        <w:tc>
          <w:tcPr>
            <w:tcW w:w="8156"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b/>
                <w:kern w:val="2"/>
                <w:sz w:val="21"/>
                <w:szCs w:val="21"/>
              </w:rPr>
            </w:pPr>
            <w:r>
              <w:rPr>
                <w:rFonts w:hint="eastAsia" w:ascii="宋体" w:hAnsi="宋体" w:eastAsia="宋体" w:cs="宋体"/>
                <w:b/>
                <w:color w:val="000000"/>
                <w:kern w:val="0"/>
                <w:sz w:val="28"/>
                <w:szCs w:val="28"/>
                <w:lang w:val="en-US" w:eastAsia="zh-CN" w:bidi="ar"/>
              </w:rPr>
              <w:t>项目支出绩效目标表</w:t>
            </w:r>
          </w:p>
        </w:tc>
        <w:tc>
          <w:tcPr>
            <w:tcW w:w="202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56"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（2024年度）                                </w:t>
            </w:r>
          </w:p>
        </w:tc>
        <w:tc>
          <w:tcPr>
            <w:tcW w:w="2025"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项目名称</w:t>
            </w:r>
          </w:p>
        </w:tc>
        <w:tc>
          <w:tcPr>
            <w:tcW w:w="69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2024年度文明创建项目经费</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主管部门   及代码</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实施单位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淮北市传媒中心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项目来源</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本级申报</w:t>
            </w: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项目期</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2024</w:t>
            </w:r>
            <w:r>
              <w:rPr>
                <w:rFonts w:hint="eastAsia" w:ascii="宋体" w:hAnsi="宋体" w:eastAsia="宋体" w:cs="宋体"/>
                <w:kern w:val="2"/>
                <w:sz w:val="21"/>
                <w:szCs w:val="21"/>
                <w:lang w:val="en-US" w:eastAsia="zh-CN" w:bidi="ar"/>
              </w:rPr>
              <w:t>年</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项目资金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（万元）</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年度资金总额：</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95万元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其中：财政拨款</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95万元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上年结转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其他资金</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年度</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目标</w:t>
            </w:r>
          </w:p>
        </w:tc>
        <w:tc>
          <w:tcPr>
            <w:tcW w:w="778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2024年为新一轮全国文明城市创建起始之年， 持续实施全国文明城市创建项目，确保文明城市创建工作常态化长效化，顺利完成文明城市创建指数。依托淮北市传媒中心强大的优质媒体资源，进一步加大淮北宣传力度，提升城市美誉度和影响力。</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绩</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效</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标</w:t>
            </w:r>
          </w:p>
        </w:tc>
        <w:tc>
          <w:tcPr>
            <w:tcW w:w="6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一级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指标</w:t>
            </w: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二级指标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三级指标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指标值</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产出指标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数量指标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道德模范、身边好人评选宣传及帮扶礼遇，完成文明创建各项测评指数</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≥4项</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质量指标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举办各类活动、电视、书籍、报刊杂志（中央、省、市网站、微信公众号、APP）推送信息质量达标率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时效指标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经费支出时效性</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12月20日前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成本指标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项目单位成本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95万元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效益指标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经济效益指标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完成新一轮文明创建测评指数</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社会效益指标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淮北各项工作宣传知晓率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生态效益指标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汉仪中秀体简" w:hAnsi="汉仪中秀体简" w:eastAsia="汉仪中秀体简" w:cs="汉仪中秀体简"/>
                <w:color w:val="000000"/>
                <w:kern w:val="0"/>
                <w:sz w:val="20"/>
                <w:szCs w:val="20"/>
              </w:rPr>
            </w:pPr>
            <w:r>
              <w:rPr>
                <w:rFonts w:hint="eastAsia" w:ascii="汉仪中秀体简" w:hAnsi="汉仪中秀体简" w:eastAsia="汉仪中秀体简" w:cs="汉仪中秀体简"/>
                <w:color w:val="000000"/>
                <w:kern w:val="0"/>
                <w:sz w:val="20"/>
                <w:szCs w:val="20"/>
                <w:lang w:val="en-US" w:eastAsia="zh-CN" w:bidi="ar"/>
              </w:rPr>
              <w:t>助力文明城市建设效果提升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r>
              <w:rPr>
                <w:rFonts w:hint="default" w:ascii="汉仪中秀体简" w:hAnsi="汉仪中秀体简" w:eastAsia="汉仪中秀体简" w:cs="汉仪中秀体简"/>
                <w:color w:val="000000"/>
                <w:kern w:val="0"/>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可持续影响指标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助力淮北城市形象宣传</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有所提升</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服务对象满意度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≤90%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bl>
    <w:p>
      <w:pPr>
        <w:ind w:firstLine="640" w:firstLineChars="200"/>
        <w:rPr>
          <w:rFonts w:hint="eastAsia" w:ascii="TimesNewRoman" w:hAnsi="TimesNewRoman" w:eastAsia="仿宋_GB2312" w:cs="TimesNewRoman"/>
          <w:kern w:val="0"/>
          <w:sz w:val="32"/>
          <w:szCs w:val="32"/>
          <w:lang w:val="en-US" w:eastAsia="zh-CN"/>
        </w:rPr>
      </w:pP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 xml:space="preserve"> </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4、“支持媒体融合定补资金”项目。</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（1）项目概述。2019年，按照市委、市政府决策部署，淮北日报社、淮北市广播电视台重组为淮北市传媒中心，为市委直属公益 二类事业单位。市财政加大对媒体融合的支持，对中心运转保障经费按照每年3600万元核定，实施“定额补助、包干使用”，并纳入年度市财政预算。</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（2）立项依据。皖编办（2020）69号关于设立淮北市传媒中心的批复。</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（3）实施主体。淮北市传媒中心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（4）起止时间。2024年1-12月份</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（5）项目内容。该项目年度预算金额2350万元，主要用于淮北市传媒中心日常工作运转。</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（6）年度预算安排。2350万元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（7）绩效目标。着力巩固壮大主流思想舆论，推进媒体深度融合发展，推动文化产业做大做强。</w:t>
      </w:r>
    </w:p>
    <w:tbl>
      <w:tblPr>
        <w:tblStyle w:val="7"/>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2"/>
        <w:gridCol w:w="614"/>
        <w:gridCol w:w="239"/>
        <w:gridCol w:w="405"/>
        <w:gridCol w:w="2929"/>
        <w:gridCol w:w="1572"/>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3" w:hRule="atLeast"/>
        </w:trPr>
        <w:tc>
          <w:tcPr>
            <w:tcW w:w="8156"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b/>
                <w:kern w:val="2"/>
                <w:sz w:val="21"/>
                <w:szCs w:val="21"/>
              </w:rPr>
            </w:pPr>
            <w:r>
              <w:rPr>
                <w:rFonts w:hint="eastAsia" w:ascii="宋体" w:hAnsi="宋体" w:eastAsia="宋体" w:cs="宋体"/>
                <w:b/>
                <w:color w:val="000000"/>
                <w:kern w:val="0"/>
                <w:sz w:val="28"/>
                <w:szCs w:val="28"/>
                <w:lang w:val="en-US" w:eastAsia="zh-CN" w:bidi="ar"/>
              </w:rPr>
              <w:t>项目支出绩效目标表</w:t>
            </w:r>
          </w:p>
        </w:tc>
        <w:tc>
          <w:tcPr>
            <w:tcW w:w="202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56"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（2024年度）                                </w:t>
            </w:r>
          </w:p>
        </w:tc>
        <w:tc>
          <w:tcPr>
            <w:tcW w:w="2025"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项目名称</w:t>
            </w:r>
          </w:p>
        </w:tc>
        <w:tc>
          <w:tcPr>
            <w:tcW w:w="69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支持媒体融合定补资金</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主管部门   及代码</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实施单位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淮北市传媒中心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项目来源</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本级申报</w:t>
            </w:r>
          </w:p>
        </w:tc>
        <w:tc>
          <w:tcPr>
            <w:tcW w:w="15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Times New Roman"/>
                <w:kern w:val="2"/>
                <w:sz w:val="21"/>
                <w:szCs w:val="21"/>
              </w:rPr>
            </w:pPr>
            <w:r>
              <w:rPr>
                <w:rFonts w:hint="eastAsia" w:ascii="宋体" w:hAnsi="宋体" w:eastAsia="宋体" w:cs="宋体"/>
                <w:color w:val="000000"/>
                <w:kern w:val="0"/>
                <w:sz w:val="20"/>
                <w:szCs w:val="20"/>
                <w:lang w:val="en-US" w:eastAsia="zh-CN" w:bidi="ar"/>
              </w:rPr>
              <w:t>项目期</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2024</w:t>
            </w:r>
            <w:r>
              <w:rPr>
                <w:rFonts w:hint="eastAsia" w:ascii="宋体" w:hAnsi="宋体" w:eastAsia="宋体" w:cs="宋体"/>
                <w:kern w:val="2"/>
                <w:sz w:val="21"/>
                <w:szCs w:val="21"/>
                <w:lang w:val="en-US" w:eastAsia="zh-CN" w:bidi="ar"/>
              </w:rPr>
              <w:t>年</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项目资金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（万元）</w:t>
            </w: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年度资金总额：</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2350万元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其中：财政拨款</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2350万元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上年结转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 xml:space="preserve">         其他资金</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年度</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目标</w:t>
            </w:r>
          </w:p>
        </w:tc>
        <w:tc>
          <w:tcPr>
            <w:tcW w:w="778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着力巩固壮大主流思想舆论，推进媒体深度融合发展，推动文化产业做大做强。</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绩</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效</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标</w:t>
            </w:r>
          </w:p>
        </w:tc>
        <w:tc>
          <w:tcPr>
            <w:tcW w:w="6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一级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指标</w:t>
            </w: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二级指标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三级指标</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指标值</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产出指标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数量指标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补助补贴项目数量</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=1个</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质量指标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补助补贴资金支出合规性</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合规</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时效指标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补助补贴完成时间</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≤12月</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成本指标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lang w:eastAsia="zh-CN"/>
              </w:rPr>
            </w:pPr>
            <w:r>
              <w:rPr>
                <w:rFonts w:hint="eastAsia" w:ascii="宋体" w:hAnsi="Calibri" w:eastAsia="宋体" w:cs="宋体"/>
                <w:kern w:val="2"/>
                <w:sz w:val="20"/>
                <w:szCs w:val="20"/>
                <w:lang w:eastAsia="zh-CN"/>
              </w:rPr>
              <w:t>项目总成本</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lang w:val="en-US"/>
              </w:rPr>
            </w:pPr>
            <w:r>
              <w:rPr>
                <w:rFonts w:hint="eastAsia" w:ascii="宋体" w:hAnsi="Calibri" w:eastAsia="宋体" w:cs="宋体"/>
                <w:kern w:val="2"/>
                <w:sz w:val="20"/>
                <w:szCs w:val="20"/>
                <w:lang w:val="en-US" w:eastAsia="zh-CN" w:bidi="ar"/>
              </w:rPr>
              <w:t>≤2400万元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效益指标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经济效益指标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对减轻群众家庭经济负担的改善或影响程度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有所提高</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社会效益指标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对单位履职、促进事业发展的影响或提升程度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有所影响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生态效益指标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Calibri"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汉仪中秀体简" w:hAnsi="汉仪中秀体简" w:eastAsia="汉仪中秀体简" w:cs="汉仪中秀体简"/>
                <w:color w:val="000000"/>
                <w:kern w:val="0"/>
                <w:sz w:val="20"/>
                <w:szCs w:val="20"/>
              </w:rPr>
            </w:pPr>
            <w:r>
              <w:rPr>
                <w:rFonts w:hint="eastAsia" w:ascii="汉仪中秀体简" w:hAnsi="汉仪中秀体简" w:eastAsia="汉仪中秀体简" w:cs="汉仪中秀体简"/>
                <w:color w:val="000000"/>
                <w:kern w:val="0"/>
                <w:sz w:val="20"/>
                <w:szCs w:val="20"/>
                <w:lang w:val="en-US" w:eastAsia="zh-CN" w:bidi="ar"/>
              </w:rPr>
              <w:t>对美化环境、保护资源的改善或影响程度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r>
              <w:rPr>
                <w:rFonts w:hint="default" w:ascii="汉仪中秀体简" w:hAnsi="汉仪中秀体简" w:eastAsia="汉仪中秀体简" w:cs="汉仪中秀体简"/>
                <w:color w:val="000000"/>
                <w:kern w:val="0"/>
                <w:sz w:val="20"/>
                <w:szCs w:val="20"/>
                <w:lang w:val="en-US" w:eastAsia="zh-CN" w:bidi="ar"/>
              </w:rPr>
              <w:t>有所影响</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可持续影响指标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对持续完善公共服务、提高群众生活水平、促进和谐社会建设的改善和提升程度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有所提高</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rPr>
            </w:pP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64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00" w:lineRule="exact"/>
              <w:ind w:left="0" w:right="0"/>
              <w:jc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满意度指标</w:t>
            </w: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color w:val="000000"/>
                <w:kern w:val="0"/>
                <w:sz w:val="20"/>
                <w:szCs w:val="20"/>
                <w:lang w:val="en-US" w:eastAsia="zh-CN" w:bidi="ar"/>
              </w:rPr>
              <w:t>指标1：</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4"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受益对象满意度</w:t>
            </w:r>
          </w:p>
        </w:tc>
        <w:tc>
          <w:tcPr>
            <w:tcW w:w="35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r>
              <w:rPr>
                <w:rFonts w:hint="eastAsia" w:ascii="宋体" w:hAnsi="Calibri" w:eastAsia="宋体" w:cs="宋体"/>
                <w:kern w:val="2"/>
                <w:sz w:val="20"/>
                <w:szCs w:val="20"/>
                <w:lang w:val="en-US" w:eastAsia="zh-CN" w:bidi="ar"/>
              </w:rPr>
              <w:t>≥90%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0"/>
                <w:szCs w:val="20"/>
              </w:rPr>
            </w:pPr>
          </w:p>
        </w:tc>
      </w:tr>
    </w:tbl>
    <w:p>
      <w:pPr>
        <w:adjustRightInd w:val="0"/>
        <w:snapToGrid w:val="0"/>
        <w:spacing w:line="580" w:lineRule="exact"/>
        <w:rPr>
          <w:rFonts w:hint="eastAsia" w:ascii="TimesNewRoman" w:hAnsi="TimesNewRoman" w:eastAsia="仿宋_GB2312" w:cs="TimesNewRoman"/>
          <w:b/>
          <w:sz w:val="32"/>
          <w:szCs w:val="32"/>
        </w:rPr>
      </w:pP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为非参照公务员法管理的事业单位，按照部门预算机关运行经费口径，2024年无机关运行经费财政拨款预算。</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2024年政府采购预算</w:t>
      </w:r>
      <w:r>
        <w:rPr>
          <w:rFonts w:hint="eastAsia" w:ascii="TimesNewRoman" w:hAnsi="TimesNewRoman" w:eastAsia="仿宋_GB2312" w:cs="TimesNewRoman"/>
          <w:kern w:val="0"/>
          <w:sz w:val="32"/>
          <w:szCs w:val="32"/>
          <w:lang w:val="en-US" w:eastAsia="zh-CN"/>
        </w:rPr>
        <w:t>87.14</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87.14</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截至2023年12月31日，淮北市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15</w:t>
      </w:r>
      <w:r>
        <w:rPr>
          <w:rFonts w:hint="eastAsia" w:ascii="TimesNewRoman" w:hAnsi="TimesNewRoman" w:eastAsia="仿宋_GB2312" w:cs="TimesNewRoman"/>
          <w:kern w:val="0"/>
          <w:sz w:val="32"/>
          <w:szCs w:val="32"/>
        </w:rPr>
        <w:t>辆，其中：主要领导干部用车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辆、机要通信用车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辆、应急保障用车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辆、执法执勤用车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辆、特种专业技术用车</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辆、离退休干部用车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辆、其他用车</w:t>
      </w:r>
      <w:r>
        <w:rPr>
          <w:rFonts w:hint="eastAsia" w:ascii="TimesNewRoman" w:hAnsi="TimesNewRoman" w:eastAsia="仿宋_GB2312" w:cs="TimesNewRoman"/>
          <w:kern w:val="0"/>
          <w:sz w:val="32"/>
          <w:szCs w:val="32"/>
          <w:lang w:val="en-US" w:eastAsia="zh-CN"/>
        </w:rPr>
        <w:t>12</w:t>
      </w:r>
      <w:r>
        <w:rPr>
          <w:rFonts w:hint="eastAsia" w:ascii="TimesNewRoman" w:hAnsi="TimesNewRoman" w:eastAsia="仿宋_GB2312" w:cs="TimesNewRoman"/>
          <w:kern w:val="0"/>
          <w:sz w:val="32"/>
          <w:szCs w:val="32"/>
        </w:rPr>
        <w:t>辆（只列报车辆不为0的车型）。单价50万元以上的通用设备</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2024年部门（单位）预算安排购置公务用车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2024年，淮北市</w:t>
      </w:r>
      <w:r>
        <w:rPr>
          <w:rFonts w:hint="eastAsia" w:ascii="TimesNewRoman" w:hAnsi="TimesNewRoman" w:eastAsia="仿宋_GB2312" w:cs="TimesNewRoman"/>
          <w:kern w:val="0"/>
          <w:sz w:val="32"/>
          <w:szCs w:val="32"/>
          <w:lang w:eastAsia="zh-CN"/>
        </w:rPr>
        <w:t>传媒中心</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2690</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汉仪中秀体简">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C4"/>
    <w:rsid w:val="000E28EE"/>
    <w:rsid w:val="002100EA"/>
    <w:rsid w:val="00267E33"/>
    <w:rsid w:val="004A4DC6"/>
    <w:rsid w:val="0057562B"/>
    <w:rsid w:val="006546AF"/>
    <w:rsid w:val="00726D96"/>
    <w:rsid w:val="008F6D1A"/>
    <w:rsid w:val="009A3CA3"/>
    <w:rsid w:val="00AE3242"/>
    <w:rsid w:val="00BD640A"/>
    <w:rsid w:val="00DB2A5C"/>
    <w:rsid w:val="00E907C4"/>
    <w:rsid w:val="00EC7755"/>
    <w:rsid w:val="00F974AD"/>
    <w:rsid w:val="00FB7E04"/>
    <w:rsid w:val="03711921"/>
    <w:rsid w:val="0860757E"/>
    <w:rsid w:val="08CD4D18"/>
    <w:rsid w:val="0D1172A6"/>
    <w:rsid w:val="0E505E61"/>
    <w:rsid w:val="116C4FC1"/>
    <w:rsid w:val="121D7634"/>
    <w:rsid w:val="159A4DB7"/>
    <w:rsid w:val="1A562ADB"/>
    <w:rsid w:val="20125C86"/>
    <w:rsid w:val="228F29EE"/>
    <w:rsid w:val="23831C46"/>
    <w:rsid w:val="23AB3DA6"/>
    <w:rsid w:val="254E5BFA"/>
    <w:rsid w:val="275929BC"/>
    <w:rsid w:val="2BA47584"/>
    <w:rsid w:val="2C8D7FA4"/>
    <w:rsid w:val="2E2D3173"/>
    <w:rsid w:val="3614322E"/>
    <w:rsid w:val="38A117DF"/>
    <w:rsid w:val="3A361BA4"/>
    <w:rsid w:val="3B9D19E7"/>
    <w:rsid w:val="3C77625D"/>
    <w:rsid w:val="3DD11036"/>
    <w:rsid w:val="3FBF4D95"/>
    <w:rsid w:val="42410D4F"/>
    <w:rsid w:val="43DC5103"/>
    <w:rsid w:val="454D32FF"/>
    <w:rsid w:val="49965D75"/>
    <w:rsid w:val="49BB5E10"/>
    <w:rsid w:val="49C137E6"/>
    <w:rsid w:val="4A623E3D"/>
    <w:rsid w:val="4A861BCC"/>
    <w:rsid w:val="4B5C5587"/>
    <w:rsid w:val="4F456B5E"/>
    <w:rsid w:val="503422E4"/>
    <w:rsid w:val="52037822"/>
    <w:rsid w:val="52666830"/>
    <w:rsid w:val="559D5E9F"/>
    <w:rsid w:val="5AFD0442"/>
    <w:rsid w:val="5B0B1799"/>
    <w:rsid w:val="5F434035"/>
    <w:rsid w:val="5F435EEA"/>
    <w:rsid w:val="608776CB"/>
    <w:rsid w:val="617D73EE"/>
    <w:rsid w:val="63583301"/>
    <w:rsid w:val="647C4C85"/>
    <w:rsid w:val="66B47D60"/>
    <w:rsid w:val="66E52948"/>
    <w:rsid w:val="67B06EDB"/>
    <w:rsid w:val="68540E16"/>
    <w:rsid w:val="6AF37CCC"/>
    <w:rsid w:val="6C551649"/>
    <w:rsid w:val="6CBD1B7C"/>
    <w:rsid w:val="6E697D52"/>
    <w:rsid w:val="70BF41DA"/>
    <w:rsid w:val="724136D6"/>
    <w:rsid w:val="743940EC"/>
    <w:rsid w:val="74C832BF"/>
    <w:rsid w:val="761D621A"/>
    <w:rsid w:val="77A51D3B"/>
    <w:rsid w:val="78715C0A"/>
    <w:rsid w:val="7AC522C2"/>
    <w:rsid w:val="7BBB457A"/>
    <w:rsid w:val="7E163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983</Words>
  <Characters>5608</Characters>
  <Lines>1</Lines>
  <Paragraphs>1</Paragraphs>
  <TotalTime>1</TotalTime>
  <ScaleCrop>false</ScaleCrop>
  <LinksUpToDate>false</LinksUpToDate>
  <CharactersWithSpaces>6578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Administrator</cp:lastModifiedBy>
  <dcterms:modified xsi:type="dcterms:W3CDTF">2024-02-23T00:37:46Z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