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附件二：精神文明建设网络有奖问答奖品采购报价单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淮北市云享网络科技有限公司：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经在网上看到贵单位发布的</w:t>
      </w:r>
      <w:r>
        <w:rPr>
          <w:rFonts w:hint="eastAsia" w:eastAsia="仿宋_GB2312"/>
          <w:sz w:val="32"/>
          <w:szCs w:val="32"/>
          <w:lang w:eastAsia="zh-CN"/>
        </w:rPr>
        <w:t>精神文明建设网络有奖问答奖品采购公告</w:t>
      </w:r>
      <w:r>
        <w:rPr>
          <w:rFonts w:hint="eastAsia" w:eastAsia="仿宋_GB2312"/>
          <w:sz w:val="32"/>
          <w:szCs w:val="32"/>
        </w:rPr>
        <w:t>后，我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</w:rPr>
        <w:t>愿意</w:t>
      </w:r>
      <w:r>
        <w:rPr>
          <w:rFonts w:hint="eastAsia" w:eastAsia="仿宋_GB2312"/>
          <w:sz w:val="32"/>
          <w:szCs w:val="32"/>
          <w:lang w:eastAsia="zh-CN"/>
        </w:rPr>
        <w:t>按照要求</w:t>
      </w:r>
      <w:r>
        <w:rPr>
          <w:rFonts w:hint="eastAsia" w:eastAsia="仿宋_GB2312"/>
          <w:sz w:val="32"/>
          <w:szCs w:val="32"/>
          <w:lang w:val="en-US" w:eastAsia="zh-CN"/>
        </w:rPr>
        <w:t>采购</w:t>
      </w:r>
      <w:r>
        <w:rPr>
          <w:rFonts w:hint="eastAsia" w:eastAsia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</w:t>
      </w:r>
      <w:r>
        <w:rPr>
          <w:rFonts w:hint="eastAsia" w:ascii="仿宋" w:hAnsi="仿宋" w:eastAsia="仿宋" w:cs="仿宋"/>
          <w:sz w:val="32"/>
          <w:szCs w:val="32"/>
        </w:rPr>
        <w:t>报价为：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明细如下：</w:t>
      </w:r>
    </w:p>
    <w:tbl>
      <w:tblPr>
        <w:tblStyle w:val="3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87"/>
        <w:gridCol w:w="1188"/>
        <w:gridCol w:w="12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奖品名称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伴手礼盒（礼盒内含智能保温水杯、颈椎按摩仪）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煮茶壶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头盔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旅行洗漱包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雨伞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蓝牙耳机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指甲钳套装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吸管竹节杯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名称：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盖章：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联系人：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联系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A5BDB"/>
    <w:rsid w:val="1E7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2024-07-31T06:36:00Z</dcterms:created>
  <dc:creator>Administrator</dc:creator>
  <cp:lastModifiedBy>Administrator</cp:lastModifiedBy>
  <dcterms:modified xsi:type="dcterms:W3CDTF">2024-07-31T06:37:07Z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